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B53FFB" w14:textId="0325276E" w:rsidR="009B2973" w:rsidRPr="00BB1DDD" w:rsidRDefault="009B2973" w:rsidP="00BB1DDD">
      <w:pPr>
        <w:spacing w:after="0"/>
      </w:pPr>
    </w:p>
    <w:p w14:paraId="43666839" w14:textId="4AB93491" w:rsidR="00C42614" w:rsidRPr="00BB1DDD" w:rsidRDefault="00C42614" w:rsidP="00BB1DDD">
      <w:pPr>
        <w:spacing w:after="0"/>
      </w:pPr>
    </w:p>
    <w:p w14:paraId="3E2271B2" w14:textId="4A709D65" w:rsidR="00C42614" w:rsidRPr="00BB1DDD" w:rsidRDefault="00C42614" w:rsidP="00BB1DDD">
      <w:pPr>
        <w:spacing w:after="0"/>
      </w:pPr>
    </w:p>
    <w:p w14:paraId="5D52FC76" w14:textId="53AC33BA" w:rsidR="00C42614" w:rsidRPr="00BB1DDD" w:rsidRDefault="00C42614" w:rsidP="00BB1DDD">
      <w:pPr>
        <w:spacing w:after="0"/>
      </w:pPr>
    </w:p>
    <w:p w14:paraId="10493FE3" w14:textId="6524AEB8" w:rsidR="00C42614" w:rsidRPr="00BB1DDD" w:rsidRDefault="00C42614" w:rsidP="00BB1DDD">
      <w:pPr>
        <w:spacing w:after="0"/>
      </w:pPr>
    </w:p>
    <w:p w14:paraId="48051E98" w14:textId="77777777" w:rsidR="00C42614" w:rsidRPr="00BB1DDD" w:rsidRDefault="00C42614" w:rsidP="00BB1DDD">
      <w:pPr>
        <w:spacing w:after="0"/>
        <w:jc w:val="center"/>
      </w:pPr>
    </w:p>
    <w:p w14:paraId="76F431E7" w14:textId="0FD3AEED" w:rsidR="00C42614" w:rsidRPr="00BB1DDD" w:rsidRDefault="004C7A89" w:rsidP="004C7A89">
      <w:pPr>
        <w:spacing w:after="0"/>
        <w:jc w:val="center"/>
      </w:pPr>
      <w:r>
        <w:t>Reading Reflection</w:t>
      </w:r>
    </w:p>
    <w:p w14:paraId="13991C58" w14:textId="1BB9F3A9" w:rsidR="00C42614" w:rsidRPr="00BB1DDD" w:rsidRDefault="00165002" w:rsidP="00BB1DDD">
      <w:pPr>
        <w:spacing w:after="0"/>
        <w:jc w:val="center"/>
      </w:pPr>
      <w:r>
        <w:t xml:space="preserve">Student’s </w:t>
      </w:r>
      <w:r w:rsidR="00C42614" w:rsidRPr="00BB1DDD">
        <w:t>Name</w:t>
      </w:r>
    </w:p>
    <w:p w14:paraId="05181D79" w14:textId="23D12E01" w:rsidR="00C42614" w:rsidRPr="00BB1DDD" w:rsidRDefault="00C42614" w:rsidP="00BB1DDD">
      <w:pPr>
        <w:spacing w:after="0"/>
        <w:jc w:val="center"/>
      </w:pPr>
      <w:r w:rsidRPr="00BB1DDD">
        <w:t>Institution</w:t>
      </w:r>
      <w:r w:rsidR="000C54AB">
        <w:t xml:space="preserve">al Affiliation </w:t>
      </w:r>
      <w:bookmarkStart w:id="0" w:name="_GoBack"/>
      <w:bookmarkEnd w:id="0"/>
    </w:p>
    <w:p w14:paraId="0DFF1119" w14:textId="0D3FA781" w:rsidR="00C42614" w:rsidRPr="00BB1DDD" w:rsidRDefault="00C42614" w:rsidP="00BB1DDD">
      <w:pPr>
        <w:spacing w:after="0"/>
        <w:jc w:val="center"/>
      </w:pPr>
    </w:p>
    <w:p w14:paraId="5E09B4E9" w14:textId="356E3F90" w:rsidR="00C42614" w:rsidRPr="00BB1DDD" w:rsidRDefault="00C42614" w:rsidP="00BB1DDD">
      <w:pPr>
        <w:spacing w:after="0"/>
        <w:jc w:val="center"/>
      </w:pPr>
    </w:p>
    <w:p w14:paraId="618946E2" w14:textId="6A71488E" w:rsidR="00C42614" w:rsidRPr="00BB1DDD" w:rsidRDefault="00C42614" w:rsidP="00BB1DDD">
      <w:pPr>
        <w:spacing w:after="0"/>
        <w:jc w:val="center"/>
      </w:pPr>
    </w:p>
    <w:p w14:paraId="16F9647A" w14:textId="78905D94" w:rsidR="00C42614" w:rsidRPr="00BB1DDD" w:rsidRDefault="00C42614" w:rsidP="00BB1DDD">
      <w:pPr>
        <w:spacing w:after="0"/>
        <w:jc w:val="center"/>
      </w:pPr>
    </w:p>
    <w:p w14:paraId="5562FEFC" w14:textId="51DCEC14" w:rsidR="00C42614" w:rsidRPr="00BB1DDD" w:rsidRDefault="00C42614" w:rsidP="00BB1DDD">
      <w:pPr>
        <w:spacing w:after="0"/>
        <w:jc w:val="center"/>
      </w:pPr>
    </w:p>
    <w:p w14:paraId="23598FA3" w14:textId="57655273" w:rsidR="00C42614" w:rsidRDefault="00C42614" w:rsidP="00BB1DDD">
      <w:pPr>
        <w:spacing w:after="0"/>
        <w:jc w:val="center"/>
      </w:pPr>
    </w:p>
    <w:p w14:paraId="6518E8FB" w14:textId="4B50C642" w:rsidR="00F91071" w:rsidRDefault="00F91071" w:rsidP="00BB1DDD">
      <w:pPr>
        <w:spacing w:after="0"/>
        <w:jc w:val="center"/>
      </w:pPr>
    </w:p>
    <w:p w14:paraId="74D2A0A6" w14:textId="69C99029" w:rsidR="00F91071" w:rsidRDefault="00F91071" w:rsidP="00BB1DDD">
      <w:pPr>
        <w:spacing w:after="0"/>
        <w:jc w:val="center"/>
      </w:pPr>
    </w:p>
    <w:p w14:paraId="74AC6BA7" w14:textId="656754BF" w:rsidR="00F91071" w:rsidRDefault="00F91071" w:rsidP="00BB1DDD">
      <w:pPr>
        <w:spacing w:after="0"/>
        <w:jc w:val="center"/>
      </w:pPr>
    </w:p>
    <w:p w14:paraId="482B2097" w14:textId="1316578B" w:rsidR="00F91071" w:rsidRDefault="00F91071" w:rsidP="00BB1DDD">
      <w:pPr>
        <w:spacing w:after="0"/>
        <w:jc w:val="center"/>
      </w:pPr>
    </w:p>
    <w:p w14:paraId="5B292BD0" w14:textId="25B7E4BA" w:rsidR="00F91071" w:rsidRDefault="00F91071" w:rsidP="00BB1DDD">
      <w:pPr>
        <w:spacing w:after="0"/>
        <w:jc w:val="center"/>
      </w:pPr>
    </w:p>
    <w:p w14:paraId="1ACE8D56" w14:textId="7D1F9C39" w:rsidR="00F91071" w:rsidRDefault="00F91071" w:rsidP="00BB1DDD">
      <w:pPr>
        <w:spacing w:after="0"/>
        <w:jc w:val="center"/>
      </w:pPr>
    </w:p>
    <w:p w14:paraId="40B93825" w14:textId="77777777" w:rsidR="00F91071" w:rsidRPr="00BB1DDD" w:rsidRDefault="00F91071" w:rsidP="00BB1DDD">
      <w:pPr>
        <w:spacing w:after="0"/>
        <w:jc w:val="center"/>
      </w:pPr>
    </w:p>
    <w:p w14:paraId="0E505C0F" w14:textId="3BE85E53" w:rsidR="00C42614" w:rsidRPr="00BB1DDD" w:rsidRDefault="00C42614" w:rsidP="00BB1DDD">
      <w:pPr>
        <w:spacing w:after="0"/>
        <w:jc w:val="center"/>
      </w:pPr>
    </w:p>
    <w:p w14:paraId="5C777CCD" w14:textId="2DAF3227" w:rsidR="00C42614" w:rsidRPr="00BB1DDD" w:rsidRDefault="004C7A89" w:rsidP="004C7A89">
      <w:pPr>
        <w:pStyle w:val="ListParagraph"/>
        <w:spacing w:after="0"/>
        <w:ind w:left="360"/>
        <w:jc w:val="center"/>
      </w:pPr>
      <w:r>
        <w:lastRenderedPageBreak/>
        <w:t>Reading Reflection</w:t>
      </w:r>
    </w:p>
    <w:p w14:paraId="6023A725" w14:textId="4DBA98AC" w:rsidR="00C42614" w:rsidRPr="00BB1DDD" w:rsidRDefault="00C42614" w:rsidP="00BB1DDD">
      <w:pPr>
        <w:pStyle w:val="ListParagraph"/>
        <w:numPr>
          <w:ilvl w:val="0"/>
          <w:numId w:val="2"/>
        </w:numPr>
        <w:spacing w:after="0"/>
        <w:rPr>
          <w:rFonts w:eastAsia="Times New Roman"/>
          <w:b/>
          <w:bCs/>
        </w:rPr>
      </w:pPr>
      <w:r w:rsidRPr="00BB1DDD">
        <w:rPr>
          <w:rFonts w:eastAsia="Times New Roman"/>
          <w:b/>
          <w:bCs/>
        </w:rPr>
        <w:t xml:space="preserve">What continuing challenges and conditions did African Americans face in the 19th century, even after slavery was abolished? </w:t>
      </w:r>
    </w:p>
    <w:p w14:paraId="7A4849BF" w14:textId="0E4DEAE2" w:rsidR="00DF7F75" w:rsidRPr="00BB1DDD" w:rsidRDefault="00C42614" w:rsidP="00BB1DDD">
      <w:pPr>
        <w:pStyle w:val="ListParagraph"/>
        <w:spacing w:after="0"/>
        <w:ind w:left="360"/>
        <w:rPr>
          <w:rFonts w:eastAsia="Times New Roman"/>
        </w:rPr>
      </w:pPr>
      <w:r w:rsidRPr="00BB1DDD">
        <w:rPr>
          <w:rFonts w:eastAsia="Times New Roman"/>
        </w:rPr>
        <w:t>The abolishment of slavery in the United States of America was met with joy and jubilation amongst the f</w:t>
      </w:r>
      <w:r w:rsidR="00DF7F75" w:rsidRPr="00BB1DDD">
        <w:rPr>
          <w:rFonts w:eastAsia="Times New Roman"/>
        </w:rPr>
        <w:t>ormerly enslaved people</w:t>
      </w:r>
      <w:r w:rsidRPr="00BB1DDD">
        <w:rPr>
          <w:rFonts w:eastAsia="Times New Roman"/>
        </w:rPr>
        <w:t>. However, the jubilation was short-lived because the f</w:t>
      </w:r>
      <w:r w:rsidR="00DF7F75" w:rsidRPr="00BB1DDD">
        <w:rPr>
          <w:rFonts w:eastAsia="Times New Roman"/>
        </w:rPr>
        <w:t>ormerly enslaved people</w:t>
      </w:r>
      <w:r w:rsidRPr="00BB1DDD">
        <w:rPr>
          <w:rFonts w:eastAsia="Times New Roman"/>
        </w:rPr>
        <w:t xml:space="preserve"> still faced other social and political barriers that barred them from getting full accommodation in the US community. They continued facing racial discrimination and prejudice that was highly pronounced</w:t>
      </w:r>
      <w:r w:rsidR="00DF7F75" w:rsidRPr="00BB1DDD">
        <w:rPr>
          <w:rFonts w:eastAsia="Times New Roman"/>
        </w:rPr>
        <w:t xml:space="preserve"> via the Jim Crow Laws</w:t>
      </w:r>
      <w:r w:rsidRPr="00BB1DDD">
        <w:rPr>
          <w:rFonts w:eastAsia="Times New Roman"/>
        </w:rPr>
        <w:t>.</w:t>
      </w:r>
      <w:r w:rsidR="00DF7F75" w:rsidRPr="00BB1DDD">
        <w:rPr>
          <w:rFonts w:eastAsia="Times New Roman"/>
        </w:rPr>
        <w:t xml:space="preserve"> The traditional psychological and physical wounds of slavery and its associated brutality lingered on in the African American communities. African Americans found it hard to acquire quality education after the post-Reconstruction era. The best schools were preserved for Whites. Also, they found it hard to own property and acquire meaningful careers due to racial discrimination and educational barriers. This made most formerly enslaved people (especially those in the South)</w:t>
      </w:r>
      <w:r w:rsidR="00F803B3" w:rsidRPr="00BB1DDD">
        <w:rPr>
          <w:rFonts w:eastAsia="Times New Roman"/>
        </w:rPr>
        <w:t xml:space="preserve"> wallow in poverty (Farisa, 2022</w:t>
      </w:r>
      <w:r w:rsidR="00DF7F75" w:rsidRPr="00BB1DDD">
        <w:rPr>
          <w:rFonts w:eastAsia="Times New Roman"/>
        </w:rPr>
        <w:t>). Southern states coined Black Codes within the sleeves of the laws to restrict Blacks from serving in the military, juries, or testifying against Whites. This also enhanced discriminatory killings with the formerly enslaved people on the receiving end.</w:t>
      </w:r>
    </w:p>
    <w:p w14:paraId="09B8A234" w14:textId="1E5CE476" w:rsidR="00C42614" w:rsidRPr="00BB1DDD" w:rsidRDefault="00C42614" w:rsidP="00BB1DDD">
      <w:pPr>
        <w:pStyle w:val="ListParagraph"/>
        <w:numPr>
          <w:ilvl w:val="0"/>
          <w:numId w:val="2"/>
        </w:numPr>
        <w:spacing w:after="0"/>
        <w:rPr>
          <w:rFonts w:eastAsia="Times New Roman"/>
        </w:rPr>
      </w:pPr>
      <w:r w:rsidRPr="00BB1DDD">
        <w:rPr>
          <w:rFonts w:eastAsia="Times New Roman"/>
          <w:b/>
          <w:bCs/>
        </w:rPr>
        <w:t xml:space="preserve">What does artwork by African Americans convey about their lives within this particular context of mid-to-late 19th century America? What particular subjects and </w:t>
      </w:r>
      <w:r w:rsidRPr="00BB1DDD">
        <w:rPr>
          <w:rFonts w:eastAsia="Times New Roman"/>
          <w:b/>
          <w:bCs/>
          <w:i/>
          <w:iCs/>
        </w:rPr>
        <w:t>visual features</w:t>
      </w:r>
      <w:r w:rsidRPr="00BB1DDD">
        <w:rPr>
          <w:rFonts w:eastAsia="Times New Roman"/>
          <w:b/>
          <w:bCs/>
        </w:rPr>
        <w:t xml:space="preserve"> communicate these conditions to the viewer? </w:t>
      </w:r>
    </w:p>
    <w:p w14:paraId="737BB815" w14:textId="59242000" w:rsidR="00DF7F75" w:rsidRPr="00BB1DDD" w:rsidRDefault="00DF7F75" w:rsidP="00BB1DDD">
      <w:pPr>
        <w:pStyle w:val="ListParagraph"/>
        <w:spacing w:after="0"/>
        <w:ind w:left="360"/>
        <w:rPr>
          <w:rFonts w:eastAsia="Times New Roman"/>
        </w:rPr>
      </w:pPr>
      <w:r w:rsidRPr="00BB1DDD">
        <w:rPr>
          <w:rFonts w:eastAsia="Times New Roman"/>
        </w:rPr>
        <w:t>African Americans' artwork reveals various aspects of their lives within mid-to-late 19</w:t>
      </w:r>
      <w:r w:rsidRPr="00BB1DDD">
        <w:rPr>
          <w:rFonts w:eastAsia="Times New Roman"/>
          <w:vertAlign w:val="superscript"/>
        </w:rPr>
        <w:t>th</w:t>
      </w:r>
      <w:r w:rsidRPr="00BB1DDD">
        <w:rPr>
          <w:rFonts w:eastAsia="Times New Roman"/>
        </w:rPr>
        <w:t xml:space="preserve"> century America. The curved desk</w:t>
      </w:r>
      <w:r w:rsidR="00E40222" w:rsidRPr="00BB1DDD">
        <w:rPr>
          <w:rFonts w:eastAsia="Times New Roman"/>
        </w:rPr>
        <w:t xml:space="preserve"> by William</w:t>
      </w:r>
      <w:r w:rsidRPr="00BB1DDD">
        <w:rPr>
          <w:rFonts w:eastAsia="Times New Roman"/>
        </w:rPr>
        <w:t xml:space="preserve"> Howard reveals how enslaved people toiled in plantations to cultivate and harvest cotton that had a ready market in the North. The desk has </w:t>
      </w:r>
      <w:r w:rsidRPr="00BB1DDD">
        <w:rPr>
          <w:rFonts w:eastAsia="Times New Roman"/>
        </w:rPr>
        <w:lastRenderedPageBreak/>
        <w:t>farm tools and also industrial tools used in cotton production. The gun represents the brutality that enslaved people encountered at the hands of their masters. The 1859's Robert</w:t>
      </w:r>
      <w:r w:rsidR="00E40222" w:rsidRPr="00BB1DDD">
        <w:rPr>
          <w:rFonts w:eastAsia="Times New Roman"/>
        </w:rPr>
        <w:t xml:space="preserve"> Duncanson's portrait entitled,</w:t>
      </w:r>
      <w:r w:rsidRPr="00BB1DDD">
        <w:rPr>
          <w:rFonts w:eastAsia="Times New Roman"/>
        </w:rPr>
        <w:t xml:space="preserve"> </w:t>
      </w:r>
      <w:r w:rsidRPr="00BB1DDD">
        <w:rPr>
          <w:rFonts w:eastAsia="Times New Roman"/>
          <w:i/>
          <w:iCs/>
        </w:rPr>
        <w:t xml:space="preserve">Landscape with Rainbow </w:t>
      </w:r>
      <w:r w:rsidRPr="00BB1DDD">
        <w:rPr>
          <w:rFonts w:eastAsia="Times New Roman"/>
        </w:rPr>
        <w:t xml:space="preserve">shows hope and optimism that enslaved people had of being free (Alex, 2021). </w:t>
      </w:r>
      <w:r w:rsidR="005759C6" w:rsidRPr="00BB1DDD">
        <w:rPr>
          <w:rFonts w:eastAsia="Times New Roman"/>
        </w:rPr>
        <w:t xml:space="preserve">The rainbow in this context expresses the element of color. In this context, color has been used to create rainbow that resembles hops of better times ahead for the enslaved individuals. </w:t>
      </w:r>
      <w:r w:rsidRPr="00BB1DDD">
        <w:rPr>
          <w:rFonts w:eastAsia="Times New Roman"/>
        </w:rPr>
        <w:t>It is also evident that most enslaved people and formerly enslaved people adopted Christianity as their new religion. This is evident in the 1885-1886 paintings of the Bible Quilt by Harriet Power (</w:t>
      </w:r>
      <w:r w:rsidRPr="00BB1DDD">
        <w:t>National Museum of American History, n.d)</w:t>
      </w:r>
      <w:r w:rsidRPr="00BB1DDD">
        <w:rPr>
          <w:rFonts w:eastAsia="Times New Roman"/>
        </w:rPr>
        <w:t>. The paintings show a series of guilt, starting with Adam and Eve with the snake in the garden of Eden, Cain killing his brother to the crucifixion of Jesus.</w:t>
      </w:r>
    </w:p>
    <w:p w14:paraId="2FFE121A" w14:textId="77777777" w:rsidR="00DF7F75" w:rsidRPr="00BB1DDD" w:rsidRDefault="00DF7F75" w:rsidP="00BB1DDD">
      <w:pPr>
        <w:spacing w:after="0"/>
        <w:rPr>
          <w:rFonts w:eastAsia="Times New Roman"/>
        </w:rPr>
      </w:pPr>
    </w:p>
    <w:p w14:paraId="1845559F" w14:textId="77777777" w:rsidR="00DF7F75" w:rsidRPr="00BB1DDD" w:rsidRDefault="00DF7F75" w:rsidP="00BB1DDD">
      <w:pPr>
        <w:spacing w:after="0"/>
        <w:rPr>
          <w:rFonts w:eastAsia="Times New Roman"/>
        </w:rPr>
      </w:pPr>
    </w:p>
    <w:p w14:paraId="0FC3393C" w14:textId="77777777" w:rsidR="00DF7F75" w:rsidRPr="00BB1DDD" w:rsidRDefault="00DF7F75" w:rsidP="00BB1DDD">
      <w:pPr>
        <w:spacing w:after="0"/>
        <w:rPr>
          <w:rFonts w:eastAsia="Times New Roman"/>
        </w:rPr>
      </w:pPr>
    </w:p>
    <w:p w14:paraId="35FC962D" w14:textId="77777777" w:rsidR="00DF7F75" w:rsidRPr="00BB1DDD" w:rsidRDefault="00DF7F75" w:rsidP="00BB1DDD">
      <w:pPr>
        <w:spacing w:after="0"/>
        <w:rPr>
          <w:rFonts w:eastAsia="Times New Roman"/>
        </w:rPr>
      </w:pPr>
    </w:p>
    <w:p w14:paraId="1FD53801" w14:textId="77777777" w:rsidR="00DF7F75" w:rsidRPr="00BB1DDD" w:rsidRDefault="00DF7F75" w:rsidP="00BB1DDD">
      <w:pPr>
        <w:spacing w:after="0"/>
        <w:rPr>
          <w:rFonts w:eastAsia="Times New Roman"/>
        </w:rPr>
      </w:pPr>
    </w:p>
    <w:p w14:paraId="07D1B6A7" w14:textId="77777777" w:rsidR="00DF7F75" w:rsidRPr="00BB1DDD" w:rsidRDefault="00DF7F75" w:rsidP="00BB1DDD">
      <w:pPr>
        <w:spacing w:after="0"/>
        <w:rPr>
          <w:rFonts w:eastAsia="Times New Roman"/>
        </w:rPr>
      </w:pPr>
    </w:p>
    <w:p w14:paraId="51B97D00" w14:textId="77777777" w:rsidR="00DF7F75" w:rsidRPr="00BB1DDD" w:rsidRDefault="00DF7F75" w:rsidP="00BB1DDD">
      <w:pPr>
        <w:spacing w:after="0"/>
        <w:rPr>
          <w:rFonts w:eastAsia="Times New Roman"/>
        </w:rPr>
      </w:pPr>
    </w:p>
    <w:p w14:paraId="39163FF4" w14:textId="77777777" w:rsidR="00DF7F75" w:rsidRPr="00BB1DDD" w:rsidRDefault="00DF7F75" w:rsidP="00BB1DDD">
      <w:pPr>
        <w:spacing w:after="0"/>
        <w:rPr>
          <w:rFonts w:eastAsia="Times New Roman"/>
        </w:rPr>
      </w:pPr>
    </w:p>
    <w:p w14:paraId="131F49F8" w14:textId="77777777" w:rsidR="00DF7F75" w:rsidRPr="00BB1DDD" w:rsidRDefault="00DF7F75" w:rsidP="00BB1DDD">
      <w:pPr>
        <w:spacing w:after="0"/>
        <w:rPr>
          <w:rFonts w:eastAsia="Times New Roman"/>
        </w:rPr>
      </w:pPr>
    </w:p>
    <w:p w14:paraId="77B11F21" w14:textId="77777777" w:rsidR="00DF7F75" w:rsidRPr="00BB1DDD" w:rsidRDefault="00DF7F75" w:rsidP="00BB1DDD">
      <w:pPr>
        <w:spacing w:after="0"/>
        <w:rPr>
          <w:rFonts w:eastAsia="Times New Roman"/>
        </w:rPr>
      </w:pPr>
    </w:p>
    <w:p w14:paraId="77CD1DE4" w14:textId="77777777" w:rsidR="00DF7F75" w:rsidRPr="00BB1DDD" w:rsidRDefault="00DF7F75" w:rsidP="00BB1DDD">
      <w:pPr>
        <w:spacing w:after="0"/>
        <w:rPr>
          <w:rFonts w:eastAsia="Times New Roman"/>
        </w:rPr>
      </w:pPr>
    </w:p>
    <w:p w14:paraId="5846637C" w14:textId="596A14B6" w:rsidR="00DF7F75" w:rsidRDefault="00DF7F75" w:rsidP="00BB1DDD">
      <w:pPr>
        <w:spacing w:after="0"/>
        <w:rPr>
          <w:rFonts w:eastAsia="Times New Roman"/>
        </w:rPr>
      </w:pPr>
    </w:p>
    <w:p w14:paraId="55A97CD5" w14:textId="77777777" w:rsidR="00F91071" w:rsidRPr="00BB1DDD" w:rsidRDefault="00F91071" w:rsidP="00BB1DDD">
      <w:pPr>
        <w:spacing w:after="0"/>
        <w:rPr>
          <w:rFonts w:eastAsia="Times New Roman"/>
        </w:rPr>
      </w:pPr>
    </w:p>
    <w:p w14:paraId="330547BE" w14:textId="7D44ED09" w:rsidR="00DF7F75" w:rsidRPr="00BB1DDD" w:rsidRDefault="00DF7F75" w:rsidP="00BB1DDD">
      <w:pPr>
        <w:spacing w:after="0"/>
        <w:jc w:val="center"/>
        <w:rPr>
          <w:rFonts w:eastAsia="Times New Roman"/>
        </w:rPr>
      </w:pPr>
      <w:r w:rsidRPr="00BB1DDD">
        <w:rPr>
          <w:rFonts w:eastAsia="Times New Roman"/>
        </w:rPr>
        <w:lastRenderedPageBreak/>
        <w:t>References</w:t>
      </w:r>
    </w:p>
    <w:p w14:paraId="6EB0B713" w14:textId="77777777" w:rsidR="00BB1DDD" w:rsidRPr="00BB1DDD" w:rsidRDefault="00BB1DDD" w:rsidP="00BB1DDD">
      <w:pPr>
        <w:spacing w:after="0"/>
        <w:ind w:left="720" w:hanging="720"/>
        <w:jc w:val="both"/>
      </w:pPr>
      <w:r w:rsidRPr="00BB1DDD">
        <w:t>Alex, G., (2021). Robert S. Duncanson Charted New Paths for Black Artists in 19</w:t>
      </w:r>
      <w:r w:rsidRPr="00BB1DDD">
        <w:rPr>
          <w:vertAlign w:val="superscript"/>
        </w:rPr>
        <w:t>th</w:t>
      </w:r>
      <w:r w:rsidRPr="00BB1DDD">
        <w:t>-Century America. Retrieved from https://www.artnews.com/feature/robert-s-duncanson-landscape-painter-who-was-he-1234582541/</w:t>
      </w:r>
    </w:p>
    <w:p w14:paraId="0C6C4BDE" w14:textId="77777777" w:rsidR="00BB1DDD" w:rsidRPr="00BB1DDD" w:rsidRDefault="00BB1DDD" w:rsidP="00BB1DDD">
      <w:pPr>
        <w:spacing w:after="0"/>
        <w:ind w:left="720" w:hanging="720"/>
        <w:jc w:val="both"/>
      </w:pPr>
      <w:r w:rsidRPr="00BB1DDD">
        <w:t xml:space="preserve">Farisa, K., (2012). Henry Ossawa Tanner, The Banjo Lesson. Retrieved 20/1/2022, from </w:t>
      </w:r>
      <w:hyperlink r:id="rId7" w:history="1">
        <w:r w:rsidRPr="00BB1DDD">
          <w:rPr>
            <w:rStyle w:val="Hyperlink"/>
            <w:color w:val="auto"/>
            <w:u w:val="none"/>
          </w:rPr>
          <w:t>https://www.khanacademy.org/humanities/art-1010/american-art-to-wwii/symbolism-america/a/tanner-banjo-lesson</w:t>
        </w:r>
      </w:hyperlink>
      <w:r w:rsidRPr="00BB1DDD">
        <w:t xml:space="preserve"> </w:t>
      </w:r>
      <w:r w:rsidRPr="00BB1DDD">
        <w:rPr>
          <w:rFonts w:eastAsia="Times New Roman"/>
          <w:sz w:val="20"/>
          <w:szCs w:val="20"/>
        </w:rPr>
        <w:t xml:space="preserve"> </w:t>
      </w:r>
    </w:p>
    <w:p w14:paraId="31A72FC8" w14:textId="77777777" w:rsidR="00BB1DDD" w:rsidRPr="00BB1DDD" w:rsidRDefault="00BB1DDD" w:rsidP="00BB1DDD">
      <w:pPr>
        <w:spacing w:after="0"/>
        <w:ind w:left="720" w:hanging="720"/>
      </w:pPr>
      <w:bookmarkStart w:id="1" w:name="_Hlk93683387"/>
      <w:r w:rsidRPr="00BB1DDD">
        <w:t>National Museum of American History</w:t>
      </w:r>
      <w:bookmarkEnd w:id="1"/>
      <w:r w:rsidRPr="00BB1DDD">
        <w:t xml:space="preserve">. (n.d). 1885-1886 Harriet Power's Bible Quilt, </w:t>
      </w:r>
      <w:r w:rsidRPr="00BB1DDD">
        <w:rPr>
          <w:i/>
          <w:iCs/>
        </w:rPr>
        <w:t>Behring Center</w:t>
      </w:r>
      <w:r w:rsidRPr="00BB1DDD">
        <w:t xml:space="preserve">. Retrieved 20/1/2022, from </w:t>
      </w:r>
      <w:hyperlink r:id="rId8" w:history="1">
        <w:r w:rsidRPr="00BB1DDD">
          <w:rPr>
            <w:rStyle w:val="Hyperlink"/>
            <w:color w:val="auto"/>
            <w:u w:val="none"/>
          </w:rPr>
          <w:t>https://americanhistory.si.edu/collections/search/object/nmah_556462</w:t>
        </w:r>
      </w:hyperlink>
    </w:p>
    <w:p w14:paraId="76E9BF51" w14:textId="77777777" w:rsidR="009600A2" w:rsidRPr="00BB1DDD" w:rsidRDefault="009600A2" w:rsidP="00BB1DDD">
      <w:pPr>
        <w:spacing w:after="0"/>
        <w:ind w:left="720" w:hanging="720"/>
      </w:pPr>
    </w:p>
    <w:p w14:paraId="4FEFE27D" w14:textId="77777777" w:rsidR="00C42614" w:rsidRPr="00BB1DDD" w:rsidRDefault="00C42614" w:rsidP="00BB1DDD">
      <w:pPr>
        <w:spacing w:after="0"/>
        <w:jc w:val="center"/>
      </w:pPr>
    </w:p>
    <w:sectPr w:rsidR="00C42614" w:rsidRPr="00BB1DD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B726F1" w14:textId="77777777" w:rsidR="00634C41" w:rsidRDefault="00634C41" w:rsidP="00C42614">
      <w:pPr>
        <w:spacing w:after="0" w:line="240" w:lineRule="auto"/>
      </w:pPr>
      <w:r>
        <w:separator/>
      </w:r>
    </w:p>
  </w:endnote>
  <w:endnote w:type="continuationSeparator" w:id="0">
    <w:p w14:paraId="4AA9F32D" w14:textId="77777777" w:rsidR="00634C41" w:rsidRDefault="00634C41" w:rsidP="00C42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9EAEA7" w14:textId="77777777" w:rsidR="00634C41" w:rsidRDefault="00634C41" w:rsidP="00C42614">
      <w:pPr>
        <w:spacing w:after="0" w:line="240" w:lineRule="auto"/>
      </w:pPr>
      <w:r>
        <w:separator/>
      </w:r>
    </w:p>
  </w:footnote>
  <w:footnote w:type="continuationSeparator" w:id="0">
    <w:p w14:paraId="39B1D5A6" w14:textId="77777777" w:rsidR="00634C41" w:rsidRDefault="00634C41" w:rsidP="00C426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9453294"/>
      <w:docPartObj>
        <w:docPartGallery w:val="Page Numbers (Top of Page)"/>
        <w:docPartUnique/>
      </w:docPartObj>
    </w:sdtPr>
    <w:sdtEndPr>
      <w:rPr>
        <w:noProof/>
      </w:rPr>
    </w:sdtEndPr>
    <w:sdtContent>
      <w:p w14:paraId="4D096DBF" w14:textId="6FAF7E2D" w:rsidR="00C42614" w:rsidRDefault="004C7A89" w:rsidP="00C42614">
        <w:pPr>
          <w:pStyle w:val="Header"/>
        </w:pPr>
        <w:r>
          <w:t xml:space="preserve">READING REFLECTION </w:t>
        </w:r>
        <w:r>
          <w:tab/>
        </w:r>
        <w:r w:rsidR="00C42614">
          <w:tab/>
          <w:t xml:space="preserve"> </w:t>
        </w:r>
        <w:r w:rsidR="00C42614">
          <w:fldChar w:fldCharType="begin"/>
        </w:r>
        <w:r w:rsidR="00C42614">
          <w:instrText xml:space="preserve"> PAGE   \* MERGEFORMAT </w:instrText>
        </w:r>
        <w:r w:rsidR="00C42614">
          <w:fldChar w:fldCharType="separate"/>
        </w:r>
        <w:r w:rsidR="000C54AB">
          <w:rPr>
            <w:noProof/>
          </w:rPr>
          <w:t>1</w:t>
        </w:r>
        <w:r w:rsidR="00C42614">
          <w:rPr>
            <w:noProof/>
          </w:rPr>
          <w:fldChar w:fldCharType="end"/>
        </w:r>
      </w:p>
    </w:sdtContent>
  </w:sdt>
  <w:p w14:paraId="76A235EB" w14:textId="77777777" w:rsidR="00C42614" w:rsidRDefault="00C4261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421DB"/>
    <w:multiLevelType w:val="multilevel"/>
    <w:tmpl w:val="EDEAE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58336C"/>
    <w:multiLevelType w:val="hybridMultilevel"/>
    <w:tmpl w:val="CE6A57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17663C3"/>
    <w:multiLevelType w:val="hybridMultilevel"/>
    <w:tmpl w:val="13A85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cysbAwNzezMDYwMDNS0lEKTi0uzszPAykwrAUAwFqyVCwAAAA="/>
  </w:docVars>
  <w:rsids>
    <w:rsidRoot w:val="00C42614"/>
    <w:rsid w:val="000C54AB"/>
    <w:rsid w:val="00165002"/>
    <w:rsid w:val="00206688"/>
    <w:rsid w:val="004B5371"/>
    <w:rsid w:val="004C7A89"/>
    <w:rsid w:val="005759C6"/>
    <w:rsid w:val="00634C41"/>
    <w:rsid w:val="009600A2"/>
    <w:rsid w:val="009B2973"/>
    <w:rsid w:val="009C0F0E"/>
    <w:rsid w:val="00BB1DDD"/>
    <w:rsid w:val="00C42614"/>
    <w:rsid w:val="00DF7F75"/>
    <w:rsid w:val="00E40222"/>
    <w:rsid w:val="00F803B3"/>
    <w:rsid w:val="00F91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FDABE"/>
  <w15:chartTrackingRefBased/>
  <w15:docId w15:val="{D71FFBE0-2F19-4F8D-AC91-71813437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26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614"/>
  </w:style>
  <w:style w:type="paragraph" w:styleId="Footer">
    <w:name w:val="footer"/>
    <w:basedOn w:val="Normal"/>
    <w:link w:val="FooterChar"/>
    <w:uiPriority w:val="99"/>
    <w:unhideWhenUsed/>
    <w:rsid w:val="00C426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614"/>
  </w:style>
  <w:style w:type="paragraph" w:styleId="ListParagraph">
    <w:name w:val="List Paragraph"/>
    <w:basedOn w:val="Normal"/>
    <w:uiPriority w:val="34"/>
    <w:qFormat/>
    <w:rsid w:val="00C42614"/>
    <w:pPr>
      <w:ind w:left="720"/>
      <w:contextualSpacing/>
    </w:pPr>
  </w:style>
  <w:style w:type="character" w:styleId="Hyperlink">
    <w:name w:val="Hyperlink"/>
    <w:basedOn w:val="DefaultParagraphFont"/>
    <w:uiPriority w:val="99"/>
    <w:unhideWhenUsed/>
    <w:rsid w:val="00DF7F75"/>
    <w:rPr>
      <w:color w:val="0563C1" w:themeColor="hyperlink"/>
      <w:u w:val="single"/>
    </w:rPr>
  </w:style>
  <w:style w:type="character" w:styleId="FollowedHyperlink">
    <w:name w:val="FollowedHyperlink"/>
    <w:basedOn w:val="DefaultParagraphFont"/>
    <w:uiPriority w:val="99"/>
    <w:semiHidden/>
    <w:unhideWhenUsed/>
    <w:rsid w:val="00DF7F75"/>
    <w:rPr>
      <w:color w:val="954F72" w:themeColor="followedHyperlink"/>
      <w:u w:val="single"/>
    </w:rPr>
  </w:style>
  <w:style w:type="character" w:customStyle="1" w:styleId="UnresolvedMention">
    <w:name w:val="Unresolved Mention"/>
    <w:basedOn w:val="DefaultParagraphFont"/>
    <w:uiPriority w:val="99"/>
    <w:semiHidden/>
    <w:unhideWhenUsed/>
    <w:rsid w:val="00DF7F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ericanhistory.si.edu/collections/search/object/nmah_556462" TargetMode="External"/><Relationship Id="rId3" Type="http://schemas.openxmlformats.org/officeDocument/2006/relationships/settings" Target="settings.xml"/><Relationship Id="rId7" Type="http://schemas.openxmlformats.org/officeDocument/2006/relationships/hyperlink" Target="https://www.khanacademy.org/humanities/art-1010/american-art-to-wwii/symbolism-america/a/tanner-banjo-less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aggrey siangu</dc:creator>
  <cp:keywords/>
  <dc:description/>
  <cp:lastModifiedBy>user</cp:lastModifiedBy>
  <cp:revision>4</cp:revision>
  <dcterms:created xsi:type="dcterms:W3CDTF">2022-01-21T20:58:00Z</dcterms:created>
  <dcterms:modified xsi:type="dcterms:W3CDTF">2022-01-21T20:58:00Z</dcterms:modified>
</cp:coreProperties>
</file>